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Является ли достаточным заказчику (органу местного самоуправления) при определении начальной (максимальной) цены контракта с использованием метода сопоставимых цен (для проведения открытого конкурса) использовать информацию двух-трех поставщиков о ценах на товары, являющиеся предметом закупки, размещенную в рекламных объявлениях (публичных офертах)?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Для заказчика при определении НМЦК с использованием метода сопоставимых цен является достаточным использование информации двух-трех поставщиков о ценах на товары, являющиеся предметом закупки, размещенной в рекламных объявлениях, которые признаются в соответствии с гражданским законодательством публичными офертами. Применив указанный вариант действий, </w:t>
      </w:r>
      <w:proofErr w:type="gramStart"/>
      <w:r>
        <w:rPr>
          <w:rFonts w:ascii="Calibri" w:hAnsi="Calibri" w:cs="Calibri"/>
        </w:rPr>
        <w:t>заказчик</w:t>
      </w:r>
      <w:proofErr w:type="gramEnd"/>
      <w:r>
        <w:rPr>
          <w:rFonts w:ascii="Calibri" w:hAnsi="Calibri" w:cs="Calibri"/>
        </w:rPr>
        <w:t xml:space="preserve"> не нарушит законодательство. </w:t>
      </w:r>
      <w:proofErr w:type="gramStart"/>
      <w:r>
        <w:rPr>
          <w:rFonts w:ascii="Calibri" w:hAnsi="Calibri" w:cs="Calibri"/>
        </w:rPr>
        <w:t xml:space="preserve">Однако также предлагаем учитывать, что Минэкономразвития России рекомендует в целях получения ценовой информации для определения НМЦК осуществлять несколько процедур, предусмотренных Методическими </w:t>
      </w:r>
      <w:hyperlink r:id="rId6" w:history="1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Минэкономразвития России от 02.10.2013 N 567 (далее - Методические рекомендации).</w:t>
      </w:r>
      <w:proofErr w:type="gramEnd"/>
      <w:r>
        <w:rPr>
          <w:rFonts w:ascii="Calibri" w:hAnsi="Calibri" w:cs="Calibri"/>
        </w:rPr>
        <w:t xml:space="preserve"> При этом рекомендуется использовать не менее трех цен товара, работы, услуги, предлагаемых различными поставщиками (в том числе содержащихся в рекламе).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ч. 2 ст. 22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метод сопоставимых рыночных цен (анализа рынка) заключается в установлении начальной (максимальной) цены контракта, цены контракта, заключаемого с единственным поставщиком (подрядчиком, исполнителем), на основании информации о рыночных ценах идентичных товаров, работ</w:t>
      </w:r>
      <w:proofErr w:type="gramEnd"/>
      <w:r>
        <w:rPr>
          <w:rFonts w:ascii="Calibri" w:hAnsi="Calibri" w:cs="Calibri"/>
        </w:rPr>
        <w:t>, услуг, планируемых к закупкам, или, при их отсутствии, однородных товаров, работ, услуг.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Как следует из </w:t>
      </w:r>
      <w:hyperlink r:id="rId8" w:history="1">
        <w:r>
          <w:rPr>
            <w:rFonts w:ascii="Calibri" w:hAnsi="Calibri" w:cs="Calibri"/>
            <w:color w:val="0000FF"/>
          </w:rPr>
          <w:t>ч. 5 ст. 22</w:t>
        </w:r>
      </w:hyperlink>
      <w:r>
        <w:rPr>
          <w:rFonts w:ascii="Calibri" w:hAnsi="Calibri" w:cs="Calibri"/>
        </w:rPr>
        <w:t xml:space="preserve"> Закона N 44-ФЗ,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</w:t>
      </w:r>
      <w:hyperlink r:id="rId9" w:history="1">
        <w:r>
          <w:rPr>
            <w:rFonts w:ascii="Calibri" w:hAnsi="Calibri" w:cs="Calibri"/>
            <w:color w:val="0000FF"/>
          </w:rPr>
          <w:t>ч. 18 указанной статьи</w:t>
        </w:r>
      </w:hyperlink>
      <w:r>
        <w:rPr>
          <w:rFonts w:ascii="Calibri" w:hAnsi="Calibri" w:cs="Calibri"/>
        </w:rPr>
        <w:t>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</w:t>
      </w:r>
      <w:proofErr w:type="gramEnd"/>
      <w:r>
        <w:rPr>
          <w:rFonts w:ascii="Calibri" w:hAnsi="Calibri" w:cs="Calibri"/>
        </w:rPr>
        <w:t>, при их отсутствии,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п. 2 ч. 18 ст. 22</w:t>
        </w:r>
      </w:hyperlink>
      <w:r>
        <w:rPr>
          <w:rFonts w:ascii="Calibri" w:hAnsi="Calibri" w:cs="Calibri"/>
        </w:rPr>
        <w:t xml:space="preserve"> Закона N 44-ФЗ к общедоступной информации о ценах товаров, работ, услуг для обеспечения государственных и муниципальных нужд, которая может быть использована для целей определения начальной (максимальной) цены контракта, цены контракта, заключаемого с единственным поставщиком (подрядчиком, исполнителем), относится информация о ценах товаров, работ, услуг, содержащаяся в рекламе, каталогах, описаниях товаров и в других предложениях</w:t>
      </w:r>
      <w:proofErr w:type="gramEnd"/>
      <w:r>
        <w:rPr>
          <w:rFonts w:ascii="Calibri" w:hAnsi="Calibri" w:cs="Calibri"/>
        </w:rPr>
        <w:t>, обращенных к неопределенному кругу лиц и признаваемых в соответствии с гражданским законодательством публичными офертами.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п. 1 ст. 494</w:t>
        </w:r>
      </w:hyperlink>
      <w:r>
        <w:rPr>
          <w:rFonts w:ascii="Calibri" w:hAnsi="Calibri" w:cs="Calibri"/>
        </w:rPr>
        <w:t xml:space="preserve"> Гражданского кодекса РФ предложение товара в его рекламе, каталогах и описаниях товаров, обращенных к неопределенному кругу лиц, признается публичной офертой </w:t>
      </w:r>
      <w:hyperlink r:id="rId12" w:history="1">
        <w:r>
          <w:rPr>
            <w:rFonts w:ascii="Calibri" w:hAnsi="Calibri" w:cs="Calibri"/>
            <w:color w:val="0000FF"/>
          </w:rPr>
          <w:t>(п. 2 ст. 437)</w:t>
        </w:r>
      </w:hyperlink>
      <w:r>
        <w:rPr>
          <w:rFonts w:ascii="Calibri" w:hAnsi="Calibri" w:cs="Calibri"/>
        </w:rPr>
        <w:t>, если оно содержит все существенные условия договора розничной купли-продажи.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</w:t>
      </w:r>
      <w:hyperlink r:id="rId13" w:history="1">
        <w:r>
          <w:rPr>
            <w:rFonts w:ascii="Calibri" w:hAnsi="Calibri" w:cs="Calibri"/>
            <w:color w:val="0000FF"/>
          </w:rPr>
          <w:t>п. 1 ст. 437</w:t>
        </w:r>
      </w:hyperlink>
      <w:r>
        <w:rPr>
          <w:rFonts w:ascii="Calibri" w:hAnsi="Calibri" w:cs="Calibri"/>
        </w:rPr>
        <w:t xml:space="preserve"> ГК РФ следует, что реклама и иные предложения, адресованные неопределенному кругу лиц, </w:t>
      </w:r>
      <w:proofErr w:type="gramStart"/>
      <w:r>
        <w:rPr>
          <w:rFonts w:ascii="Calibri" w:hAnsi="Calibri" w:cs="Calibri"/>
        </w:rPr>
        <w:t>рассматриваются</w:t>
      </w:r>
      <w:proofErr w:type="gramEnd"/>
      <w:r>
        <w:rPr>
          <w:rFonts w:ascii="Calibri" w:hAnsi="Calibri" w:cs="Calibri"/>
        </w:rPr>
        <w:t xml:space="preserve"> как приглашение делать оферты, если иное прямо не указано в предложении.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Количество сопоставимых рыночных цен, которые надлежит использовать в целях определения НМЦК,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предусмотрено. Следовательно, информация о двух-трех ценах, по нашему мнению, является достаточной.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следует из </w:t>
      </w:r>
      <w:hyperlink r:id="rId15" w:history="1">
        <w:r>
          <w:rPr>
            <w:rFonts w:ascii="Calibri" w:hAnsi="Calibri" w:cs="Calibri"/>
            <w:color w:val="0000FF"/>
          </w:rPr>
          <w:t>п. 3.7.4</w:t>
        </w:r>
      </w:hyperlink>
      <w:r>
        <w:rPr>
          <w:rFonts w:ascii="Calibri" w:hAnsi="Calibri" w:cs="Calibri"/>
        </w:rPr>
        <w:t xml:space="preserve"> Методических рекомендаций, в целях получения ценовой </w:t>
      </w:r>
      <w:r>
        <w:rPr>
          <w:rFonts w:ascii="Calibri" w:hAnsi="Calibri" w:cs="Calibri"/>
        </w:rPr>
        <w:lastRenderedPageBreak/>
        <w:t xml:space="preserve">информации в отношении товара, работы, услуги для определения НМЦК рекомендуется осуществить несколько следующих процедур, одними из которых являются сбор и анализ общедоступной ценовой информации, к которой </w:t>
      </w:r>
      <w:proofErr w:type="gramStart"/>
      <w:r>
        <w:rPr>
          <w:rFonts w:ascii="Calibri" w:hAnsi="Calibri" w:cs="Calibri"/>
        </w:rPr>
        <w:t>относится</w:t>
      </w:r>
      <w:proofErr w:type="gramEnd"/>
      <w:r>
        <w:rPr>
          <w:rFonts w:ascii="Calibri" w:hAnsi="Calibri" w:cs="Calibri"/>
        </w:rPr>
        <w:t xml:space="preserve"> в том числе 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лиц, в том числе признаваемых в соответствии с гражданским законодательством публичными офертами.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согласно </w:t>
      </w:r>
      <w:hyperlink r:id="rId16" w:history="1">
        <w:r>
          <w:rPr>
            <w:rFonts w:ascii="Calibri" w:hAnsi="Calibri" w:cs="Calibri"/>
            <w:color w:val="0000FF"/>
          </w:rPr>
          <w:t>п. 3.19</w:t>
        </w:r>
      </w:hyperlink>
      <w:r>
        <w:rPr>
          <w:rFonts w:ascii="Calibri" w:hAnsi="Calibri" w:cs="Calibri"/>
        </w:rPr>
        <w:t xml:space="preserve"> Методических рекомендаций в целях определения НМЦК методом сопоставимых рыночных цен (анализа рынка) рекомендуется использовать не менее трех цен товара, работы, услуги, предлагаемых различными поставщиками (подрядчиками, исполнителями).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proofErr w:type="gramStart"/>
        <w:r>
          <w:rPr>
            <w:rFonts w:ascii="Calibri" w:hAnsi="Calibri" w:cs="Calibri"/>
            <w:color w:val="0000FF"/>
          </w:rPr>
          <w:t>Пунктом 1.1</w:t>
        </w:r>
      </w:hyperlink>
      <w:r>
        <w:rPr>
          <w:rFonts w:ascii="Calibri" w:hAnsi="Calibri" w:cs="Calibri"/>
        </w:rPr>
        <w:t xml:space="preserve"> Методических рекомендаций предусмотрено, что они разработаны в целях оказания помощи заказчикам в определении и обосновании начальной (максимальной) цены контракта при осуществлении закупок с использованием конкурентных способов определения поставщиков (подрядчиков, исполнителей), цены контракта, заключаемого с единственным поставщиком (подрядчиком, исполнителем), для обеспечения государственных или муниципальных нужд в соответствии с положениями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44-ФЗ.</w:t>
      </w:r>
      <w:proofErr w:type="gramEnd"/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положения Методических </w:t>
      </w:r>
      <w:hyperlink r:id="rId19" w:history="1">
        <w:r>
          <w:rPr>
            <w:rFonts w:ascii="Calibri" w:hAnsi="Calibri" w:cs="Calibri"/>
            <w:color w:val="0000FF"/>
          </w:rPr>
          <w:t>рекомендаций</w:t>
        </w:r>
      </w:hyperlink>
      <w:r>
        <w:rPr>
          <w:rFonts w:ascii="Calibri" w:hAnsi="Calibri" w:cs="Calibri"/>
        </w:rPr>
        <w:t xml:space="preserve"> нормативного характера не имеют.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Следовательно, как следует из положений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44-ФЗ, для заказчика при определении НМЦК с использованием метода сопоставимых цен является достаточным использование информации двух-трех поставщиков о ценах на товары, являющиеся предметом закупки, размещенной в рекламных объявлениях, которые признаются в соответствии с гражданским законодательством публичными офертами. Однако предлагаем также учитывать, что Минэкономразвития России рекомендует в целях получения ценовой информации для определения НМЦК осуществлять несколько процедур, предусмотренных Методическими </w:t>
      </w:r>
      <w:hyperlink r:id="rId21" w:history="1">
        <w:r>
          <w:rPr>
            <w:rFonts w:ascii="Calibri" w:hAnsi="Calibri" w:cs="Calibri"/>
            <w:color w:val="0000FF"/>
          </w:rPr>
          <w:t>рекомендациями</w:t>
        </w:r>
      </w:hyperlink>
      <w:r>
        <w:rPr>
          <w:rFonts w:ascii="Calibri" w:hAnsi="Calibri" w:cs="Calibri"/>
        </w:rPr>
        <w:t>. При этом рекомендуется использовать не менее трех цен товара, работы, услуги, предлагаемых различными поставщиками (в том числе содержащихся в рекламе).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21.04.2014</w:t>
      </w: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951" w:rsidRDefault="000F6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6951" w:rsidRDefault="000F695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50AE2" w:rsidRDefault="00850AE2">
      <w:bookmarkStart w:id="0" w:name="_GoBack"/>
      <w:bookmarkEnd w:id="0"/>
    </w:p>
    <w:sectPr w:rsidR="00850AE2" w:rsidSect="00C5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51"/>
    <w:rsid w:val="000F6951"/>
    <w:rsid w:val="0085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CF19D19FAEEC7E7D4C872D53D675501DA3E9382936153E24A51076D26CD72F817B2561D04371Dv2q8N" TargetMode="External"/><Relationship Id="rId13" Type="http://schemas.openxmlformats.org/officeDocument/2006/relationships/hyperlink" Target="consultantplus://offline/ref=BE6CF19D19FAEEC7E7D4C872D53D675501DA3A9A84926153E24A51076D26CD72F817B2561D063519v2q9N" TargetMode="External"/><Relationship Id="rId18" Type="http://schemas.openxmlformats.org/officeDocument/2006/relationships/hyperlink" Target="consultantplus://offline/ref=BE6CF19D19FAEEC7E7D4C872D53D675501DA3E9382936153E24A51076D26CD72F817B2561D04371Av2q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6CF19D19FAEEC7E7D4C872D53D675501DA3A9086926153E24A51076D26CD72F817B2561D04351Bv2q9N" TargetMode="External"/><Relationship Id="rId7" Type="http://schemas.openxmlformats.org/officeDocument/2006/relationships/hyperlink" Target="consultantplus://offline/ref=BE6CF19D19FAEEC7E7D4C872D53D675501DA3E9382936153E24A51076D26CD72F817B2561D04371Dv2q5N" TargetMode="External"/><Relationship Id="rId12" Type="http://schemas.openxmlformats.org/officeDocument/2006/relationships/hyperlink" Target="consultantplus://offline/ref=BE6CF19D19FAEEC7E7D4C872D53D675501DA3A9A84926153E24A51076D26CD72F817B2561D063518v2q0N" TargetMode="External"/><Relationship Id="rId17" Type="http://schemas.openxmlformats.org/officeDocument/2006/relationships/hyperlink" Target="consultantplus://offline/ref=BE6CF19D19FAEEC7E7D4C872D53D675501DA3A9086926153E24A51076D26CD72F817B2561D04351Ev2q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6CF19D19FAEEC7E7D4C872D53D675501DA3A9086926153E24A51076D26CD72F817B2561D04341Fv2q6N" TargetMode="External"/><Relationship Id="rId20" Type="http://schemas.openxmlformats.org/officeDocument/2006/relationships/hyperlink" Target="consultantplus://offline/ref=BE6CF19D19FAEEC7E7D4C872D53D675501DA3E9382936153E24A51076D26CD72F817B2561D04371Ev2q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6CF19D19FAEEC7E7D4C872D53D675501DA3A9086926153E24A51076D26CD72F817B2561D04351Bv2q9N" TargetMode="External"/><Relationship Id="rId11" Type="http://schemas.openxmlformats.org/officeDocument/2006/relationships/hyperlink" Target="consultantplus://offline/ref=BE6CF19D19FAEEC7E7D4C872D53D675501DA3F9581966153E24A51076D26CD72F817B2561D043416v2q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E6CF19D19FAEEC7E7D4C872D53D675501DA3A9086926153E24A51076D26CD72F817B2561D04351Av2q4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E6CF19D19FAEEC7E7D4C872D53D675501DA3E9382936153E24A51076D26CD72F817B2561D04371Bv2q5N" TargetMode="External"/><Relationship Id="rId19" Type="http://schemas.openxmlformats.org/officeDocument/2006/relationships/hyperlink" Target="consultantplus://offline/ref=BE6CF19D19FAEEC7E7D4C872D53D675501DA3A9086926153E24A51076D26CD72F817B2561D04351Fv2q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6CF19D19FAEEC7E7D4C872D53D675501DA3E9382936153E24A51076D26CD72F817B2561D04371Bv2q3N" TargetMode="External"/><Relationship Id="rId14" Type="http://schemas.openxmlformats.org/officeDocument/2006/relationships/hyperlink" Target="consultantplus://offline/ref=BE6CF19D19FAEEC7E7D4C872D53D675501DA3E9382936153E24A51076D26CD72F817B2561D04371Ev2q8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2014-12-18T13:42:00Z</dcterms:created>
  <dcterms:modified xsi:type="dcterms:W3CDTF">2014-12-18T13:43:00Z</dcterms:modified>
</cp:coreProperties>
</file>